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EC" w:rsidRPr="00D744B0" w:rsidRDefault="00554E7C" w:rsidP="00D744B0">
      <w:pPr>
        <w:autoSpaceDE w:val="0"/>
        <w:autoSpaceDN w:val="0"/>
        <w:adjustRightInd w:val="0"/>
        <w:spacing w:after="240" w:line="240" w:lineRule="auto"/>
        <w:rPr>
          <w:rFonts w:cs="FrutigerCE-Light"/>
          <w:b/>
          <w:sz w:val="24"/>
          <w:szCs w:val="24"/>
          <w:u w:val="single"/>
        </w:rPr>
      </w:pPr>
      <w:r>
        <w:rPr>
          <w:rFonts w:cs="FrutigerCE-Light"/>
          <w:b/>
          <w:sz w:val="24"/>
          <w:szCs w:val="24"/>
          <w:u w:val="single"/>
        </w:rPr>
        <w:t>SPECIFIKACE K</w:t>
      </w:r>
      <w:r w:rsidR="00CF537C">
        <w:rPr>
          <w:rFonts w:cs="FrutigerCE-Light"/>
          <w:b/>
          <w:sz w:val="24"/>
          <w:szCs w:val="24"/>
          <w:u w:val="single"/>
        </w:rPr>
        <w:t xml:space="preserve"> </w:t>
      </w:r>
      <w:r w:rsidR="006A0285">
        <w:rPr>
          <w:rFonts w:cs="FrutigerCE-Light"/>
          <w:b/>
          <w:sz w:val="24"/>
          <w:szCs w:val="24"/>
          <w:u w:val="single"/>
        </w:rPr>
        <w:t xml:space="preserve">POJIŠTĚNÍ </w:t>
      </w:r>
      <w:r w:rsidR="002C12EC" w:rsidRPr="00D744B0">
        <w:rPr>
          <w:rFonts w:cs="FrutigerCE-Light"/>
          <w:b/>
          <w:sz w:val="24"/>
          <w:szCs w:val="24"/>
          <w:u w:val="single"/>
        </w:rPr>
        <w:t>ELEKTRONIK</w:t>
      </w:r>
      <w:r w:rsidR="006A0285">
        <w:rPr>
          <w:rFonts w:cs="FrutigerCE-Light"/>
          <w:b/>
          <w:sz w:val="24"/>
          <w:szCs w:val="24"/>
          <w:u w:val="single"/>
        </w:rPr>
        <w:t>Y</w:t>
      </w:r>
    </w:p>
    <w:p w:rsidR="007F7313" w:rsidRDefault="007F7313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Předmětem je p</w:t>
      </w:r>
      <w:r w:rsidRPr="00B71764">
        <w:rPr>
          <w:rFonts w:cs="FrutigerCE-Light"/>
          <w:sz w:val="16"/>
          <w:szCs w:val="16"/>
        </w:rPr>
        <w:t xml:space="preserve">ojištění </w:t>
      </w:r>
      <w:r>
        <w:rPr>
          <w:rFonts w:cs="FrutigerCE-Light"/>
          <w:sz w:val="16"/>
          <w:szCs w:val="16"/>
        </w:rPr>
        <w:t>elektronických</w:t>
      </w:r>
      <w:r w:rsidRPr="00B71764">
        <w:rPr>
          <w:rFonts w:cs="FrutigerCE-Light"/>
          <w:sz w:val="16"/>
          <w:szCs w:val="16"/>
        </w:rPr>
        <w:t xml:space="preserve"> zařízení vč. </w:t>
      </w:r>
      <w:r>
        <w:rPr>
          <w:rFonts w:cs="FrutigerCE-Light"/>
          <w:sz w:val="16"/>
          <w:szCs w:val="16"/>
        </w:rPr>
        <w:t>mechanických</w:t>
      </w:r>
      <w:r w:rsidRPr="00B71764">
        <w:rPr>
          <w:rFonts w:cs="FrutigerCE-Light"/>
          <w:sz w:val="16"/>
          <w:szCs w:val="16"/>
        </w:rPr>
        <w:t xml:space="preserve"> součástí proti poškození či zničení jakoukoliv nahodilou událostí, která není vyloučena.</w:t>
      </w:r>
      <w:r>
        <w:rPr>
          <w:rFonts w:cs="FrutigerCE-Light"/>
          <w:sz w:val="16"/>
          <w:szCs w:val="16"/>
        </w:rPr>
        <w:t xml:space="preserve"> </w:t>
      </w:r>
      <w:r w:rsidRPr="00B71764">
        <w:rPr>
          <w:rFonts w:cs="FrutigerCE-Light"/>
          <w:sz w:val="16"/>
          <w:szCs w:val="16"/>
        </w:rPr>
        <w:t xml:space="preserve">Pojištění se musí vztahovat zejména na škody vzniklé </w:t>
      </w:r>
      <w:r>
        <w:rPr>
          <w:rFonts w:cs="FrutigerCE-Light"/>
          <w:sz w:val="16"/>
          <w:szCs w:val="16"/>
        </w:rPr>
        <w:t xml:space="preserve">živelním nebezpečím, </w:t>
      </w:r>
      <w:r w:rsidRPr="00B71764">
        <w:rPr>
          <w:rFonts w:cs="FrutigerCE-Light"/>
          <w:sz w:val="16"/>
          <w:szCs w:val="16"/>
        </w:rPr>
        <w:t xml:space="preserve">chybou obsluhy, </w:t>
      </w:r>
      <w:r>
        <w:rPr>
          <w:rFonts w:cs="FrutigerCE-Light"/>
          <w:sz w:val="16"/>
          <w:szCs w:val="16"/>
        </w:rPr>
        <w:t xml:space="preserve">zkratem, </w:t>
      </w:r>
      <w:r w:rsidRPr="00B71764">
        <w:rPr>
          <w:rFonts w:cs="FrutigerCE-Light"/>
          <w:sz w:val="16"/>
          <w:szCs w:val="16"/>
        </w:rPr>
        <w:t>přepětím či podpětím, indukcí, přepravou</w:t>
      </w:r>
      <w:r>
        <w:rPr>
          <w:rFonts w:cs="FrutigerCE-Light"/>
          <w:sz w:val="16"/>
          <w:szCs w:val="16"/>
        </w:rPr>
        <w:t xml:space="preserve"> vč. nakládky a vykládky</w:t>
      </w:r>
      <w:r w:rsidRPr="00B71764">
        <w:rPr>
          <w:rFonts w:cs="FrutigerCE-Light"/>
          <w:sz w:val="16"/>
          <w:szCs w:val="16"/>
        </w:rPr>
        <w:t>, apod.</w:t>
      </w:r>
      <w:r w:rsidR="006E4C14">
        <w:rPr>
          <w:rFonts w:cs="FrutigerCE-Light"/>
          <w:sz w:val="16"/>
          <w:szCs w:val="16"/>
        </w:rPr>
        <w:t xml:space="preserve"> V elektronice je požadováno živelní pojištění vzhledem k rozdílným spoluúčastem oproti živelnímu pojištění movitých věcí.</w:t>
      </w:r>
    </w:p>
    <w:p w:rsidR="00D9788F" w:rsidRPr="00BB1DF0" w:rsidRDefault="00D9788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 w:rsidRPr="00BB1DF0">
        <w:rPr>
          <w:rFonts w:cs="FrutigerCE-Light"/>
          <w:sz w:val="16"/>
          <w:szCs w:val="16"/>
        </w:rPr>
        <w:t>Za elektronické zařízen</w:t>
      </w:r>
      <w:r w:rsidR="00B3117B" w:rsidRPr="00BB1DF0">
        <w:rPr>
          <w:rFonts w:cs="FrutigerCE-Light"/>
          <w:sz w:val="16"/>
          <w:szCs w:val="16"/>
        </w:rPr>
        <w:t>í jsou považovány i elektronická zařízení</w:t>
      </w:r>
      <w:r w:rsidR="00BB1DF0" w:rsidRPr="00BB1DF0">
        <w:rPr>
          <w:rFonts w:cs="FrutigerCE-Light"/>
          <w:sz w:val="16"/>
          <w:szCs w:val="16"/>
        </w:rPr>
        <w:t>, která</w:t>
      </w:r>
      <w:r w:rsidRPr="00BB1DF0">
        <w:rPr>
          <w:rFonts w:cs="FrutigerCE-Light"/>
          <w:sz w:val="16"/>
          <w:szCs w:val="16"/>
        </w:rPr>
        <w:t xml:space="preserve"> jsou </w:t>
      </w:r>
      <w:r w:rsidR="00D50AF0" w:rsidRPr="00BB1DF0">
        <w:rPr>
          <w:rFonts w:cs="FrutigerCE-Light"/>
          <w:sz w:val="16"/>
          <w:szCs w:val="16"/>
        </w:rPr>
        <w:t xml:space="preserve">účetně </w:t>
      </w:r>
      <w:r w:rsidRPr="00BB1DF0">
        <w:rPr>
          <w:rFonts w:cs="FrutigerCE-Light"/>
          <w:sz w:val="16"/>
          <w:szCs w:val="16"/>
        </w:rPr>
        <w:t>součástí budov a ostatních staveb</w:t>
      </w:r>
      <w:r w:rsidR="00AF7134" w:rsidRPr="00BB1DF0">
        <w:rPr>
          <w:rFonts w:cs="FrutigerCE-Light"/>
          <w:sz w:val="16"/>
          <w:szCs w:val="16"/>
        </w:rPr>
        <w:t xml:space="preserve"> (např. </w:t>
      </w:r>
      <w:r w:rsidR="00B3117B" w:rsidRPr="00BB1DF0">
        <w:rPr>
          <w:rFonts w:cs="FrutigerCE-Light"/>
          <w:sz w:val="16"/>
          <w:szCs w:val="16"/>
        </w:rPr>
        <w:t>měření a</w:t>
      </w:r>
      <w:r w:rsidR="00424EBE">
        <w:rPr>
          <w:rFonts w:cs="FrutigerCE-Light"/>
          <w:sz w:val="16"/>
          <w:szCs w:val="16"/>
        </w:rPr>
        <w:t> </w:t>
      </w:r>
      <w:r w:rsidR="00B3117B" w:rsidRPr="00BB1DF0">
        <w:rPr>
          <w:rFonts w:cs="FrutigerCE-Light"/>
          <w:sz w:val="16"/>
          <w:szCs w:val="16"/>
        </w:rPr>
        <w:t xml:space="preserve">regulace, klimatizace, </w:t>
      </w:r>
      <w:r w:rsidR="00BB1DF0" w:rsidRPr="00BB1DF0">
        <w:rPr>
          <w:rFonts w:cs="FrutigerCE-Light"/>
          <w:sz w:val="16"/>
          <w:szCs w:val="16"/>
        </w:rPr>
        <w:t>EZS</w:t>
      </w:r>
      <w:r w:rsidR="00AF7134" w:rsidRPr="00BB1DF0">
        <w:rPr>
          <w:rFonts w:cs="FrutigerCE-Light"/>
          <w:sz w:val="16"/>
          <w:szCs w:val="16"/>
        </w:rPr>
        <w:t xml:space="preserve">, </w:t>
      </w:r>
      <w:r w:rsidR="00BB1DF0" w:rsidRPr="00BB1DF0">
        <w:rPr>
          <w:rFonts w:cs="FrutigerCE-Light"/>
          <w:sz w:val="16"/>
          <w:szCs w:val="16"/>
        </w:rPr>
        <w:t xml:space="preserve">EPS, </w:t>
      </w:r>
      <w:r w:rsidR="00AF7134" w:rsidRPr="00BB1DF0">
        <w:rPr>
          <w:rFonts w:cs="FrutigerCE-Light"/>
          <w:sz w:val="16"/>
          <w:szCs w:val="16"/>
        </w:rPr>
        <w:t>kamerové systémy a další součásti technicko-bezpečnostní</w:t>
      </w:r>
      <w:r w:rsidR="00066528" w:rsidRPr="00BB1DF0">
        <w:rPr>
          <w:rFonts w:cs="FrutigerCE-Light"/>
          <w:sz w:val="16"/>
          <w:szCs w:val="16"/>
        </w:rPr>
        <w:t>ho</w:t>
      </w:r>
      <w:r w:rsidR="00AF7134" w:rsidRPr="00BB1DF0">
        <w:rPr>
          <w:rFonts w:cs="FrutigerCE-Light"/>
          <w:sz w:val="16"/>
          <w:szCs w:val="16"/>
        </w:rPr>
        <w:t xml:space="preserve"> dohledu</w:t>
      </w:r>
      <w:r w:rsidR="00B3117B" w:rsidRPr="00BB1DF0">
        <w:rPr>
          <w:rFonts w:cs="FrutigerCE-Light"/>
          <w:sz w:val="16"/>
          <w:szCs w:val="16"/>
        </w:rPr>
        <w:t xml:space="preserve"> apod.)</w:t>
      </w:r>
      <w:r w:rsidR="00C94AC1" w:rsidRPr="00BB1DF0">
        <w:rPr>
          <w:rFonts w:cs="FrutigerCE-Light"/>
          <w:sz w:val="16"/>
          <w:szCs w:val="16"/>
        </w:rPr>
        <w:t xml:space="preserve"> </w:t>
      </w:r>
    </w:p>
    <w:p w:rsidR="007C1D88" w:rsidRPr="0077712E" w:rsidRDefault="00E02BC8" w:rsidP="008331A5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 pojištění </w:t>
      </w:r>
      <w:r w:rsidR="000A56B9" w:rsidRPr="000A56B9">
        <w:rPr>
          <w:rFonts w:cs="FrutigerCE-Light"/>
          <w:sz w:val="16"/>
          <w:szCs w:val="16"/>
          <w:u w:val="single"/>
        </w:rPr>
        <w:t>je přípustné vyloučení</w:t>
      </w:r>
      <w:r>
        <w:rPr>
          <w:rFonts w:cs="FrutigerCE-Light"/>
          <w:sz w:val="16"/>
          <w:szCs w:val="16"/>
        </w:rPr>
        <w:t xml:space="preserve"> či limitace </w:t>
      </w:r>
      <w:r w:rsidR="007854F2">
        <w:rPr>
          <w:rFonts w:cs="FrutigerCE-Light"/>
          <w:sz w:val="16"/>
          <w:szCs w:val="16"/>
        </w:rPr>
        <w:t xml:space="preserve">plnění za </w:t>
      </w:r>
      <w:r>
        <w:rPr>
          <w:rFonts w:cs="FrutigerCE-Light"/>
          <w:sz w:val="16"/>
          <w:szCs w:val="16"/>
        </w:rPr>
        <w:t>p</w:t>
      </w:r>
      <w:r w:rsidR="007C1D88" w:rsidRPr="0077712E">
        <w:rPr>
          <w:rFonts w:cs="FrutigerCE-Light"/>
          <w:sz w:val="16"/>
          <w:szCs w:val="16"/>
        </w:rPr>
        <w:t>oškození nebo zničení předmětu pojištění</w:t>
      </w:r>
      <w:r>
        <w:rPr>
          <w:rFonts w:cs="FrutigerCE-Light"/>
          <w:sz w:val="16"/>
          <w:szCs w:val="16"/>
        </w:rPr>
        <w:t>:</w:t>
      </w:r>
      <w:r w:rsidR="007C1D88" w:rsidRPr="0077712E">
        <w:rPr>
          <w:rFonts w:cs="FrutigerCE-Light"/>
          <w:sz w:val="16"/>
          <w:szCs w:val="16"/>
        </w:rPr>
        <w:t xml:space="preserve"> </w:t>
      </w:r>
    </w:p>
    <w:p w:rsidR="00B028F2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jaderných</w:t>
      </w:r>
      <w:r w:rsidR="00D50AF0">
        <w:rPr>
          <w:rFonts w:cs="FrutigerCE-Light"/>
          <w:sz w:val="16"/>
          <w:szCs w:val="16"/>
        </w:rPr>
        <w:t xml:space="preserve"> a </w:t>
      </w:r>
      <w:r w:rsidRPr="00E02BC8">
        <w:rPr>
          <w:rFonts w:cs="FrutigerCE-Light"/>
          <w:sz w:val="16"/>
          <w:szCs w:val="16"/>
        </w:rPr>
        <w:t>válečných rizik</w:t>
      </w:r>
      <w:r w:rsidR="00D50AF0">
        <w:rPr>
          <w:rFonts w:cs="FrutigerCE-Light"/>
          <w:sz w:val="16"/>
          <w:szCs w:val="16"/>
        </w:rPr>
        <w:t>, násilných nepokojů a terorismu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následkem vady, kterou měl již v době vzniku pojištění a která byla nebo mohl</w:t>
      </w:r>
      <w:r w:rsidR="00D50AF0">
        <w:rPr>
          <w:rFonts w:cs="FrutigerCE-Light"/>
          <w:sz w:val="16"/>
          <w:szCs w:val="16"/>
        </w:rPr>
        <w:t>a</w:t>
      </w:r>
      <w:r w:rsidRPr="00E02BC8">
        <w:rPr>
          <w:rFonts w:cs="FrutigerCE-Light"/>
          <w:sz w:val="16"/>
          <w:szCs w:val="16"/>
        </w:rPr>
        <w:t xml:space="preserve"> být (vzhledem k okolnostem) známa pojistníkovi či pojištěnému</w:t>
      </w:r>
      <w:r w:rsidR="00B14071">
        <w:rPr>
          <w:rFonts w:cs="FrutigerCE-Light"/>
          <w:sz w:val="16"/>
          <w:szCs w:val="16"/>
        </w:rPr>
        <w:t>;</w:t>
      </w:r>
    </w:p>
    <w:p w:rsidR="00AC6B97" w:rsidRPr="00E02BC8" w:rsidRDefault="00AC6B97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který nebyl bezprostředně před pojistnou událostí v provozuschopném stavu, či nebyl uveden do provozu v souladu s platnými právními předpisy či požadavky výrobce</w:t>
      </w:r>
      <w:r w:rsidR="00B14071">
        <w:rPr>
          <w:rFonts w:cs="FrutigerCE-Light"/>
          <w:sz w:val="16"/>
          <w:szCs w:val="16"/>
        </w:rPr>
        <w:t>;</w:t>
      </w:r>
    </w:p>
    <w:p w:rsidR="0077712E" w:rsidRDefault="0077712E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ú</w:t>
      </w:r>
      <w:r w:rsidR="00A13AF6">
        <w:rPr>
          <w:rFonts w:cs="FrutigerCE-Light"/>
          <w:sz w:val="16"/>
          <w:szCs w:val="16"/>
        </w:rPr>
        <w:t>myslným poškození nebo zničením</w:t>
      </w:r>
      <w:r w:rsidR="00B14071">
        <w:rPr>
          <w:rFonts w:cs="FrutigerCE-Light"/>
          <w:sz w:val="16"/>
          <w:szCs w:val="16"/>
        </w:rPr>
        <w:t>;</w:t>
      </w:r>
    </w:p>
    <w:p w:rsidR="00E02BC8" w:rsidRPr="00E02BC8" w:rsidRDefault="00D9788F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krádeží vloupáním, loupeží, </w:t>
      </w:r>
      <w:r w:rsidR="00E02BC8">
        <w:rPr>
          <w:rFonts w:cs="FrutigerCE-Light"/>
          <w:sz w:val="16"/>
          <w:szCs w:val="16"/>
        </w:rPr>
        <w:t>ztrátou, zpronevěrou, podvodem, zatajením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 xml:space="preserve">způsobené bezprostředním následkem </w:t>
      </w:r>
      <w:r w:rsidR="0077712E" w:rsidRPr="00E02BC8">
        <w:rPr>
          <w:rFonts w:cs="FrutigerCE-Light"/>
          <w:sz w:val="16"/>
          <w:szCs w:val="16"/>
        </w:rPr>
        <w:t xml:space="preserve">trvalého vlivu provozu, </w:t>
      </w:r>
      <w:r w:rsidRPr="00E02BC8">
        <w:rPr>
          <w:rFonts w:cs="FrutigerCE-Light"/>
          <w:sz w:val="16"/>
          <w:szCs w:val="16"/>
        </w:rPr>
        <w:t xml:space="preserve">koroze, eroze, abraze, kavitace, oxidace, </w:t>
      </w:r>
      <w:r w:rsidR="00AC6B97" w:rsidRPr="00E02BC8">
        <w:rPr>
          <w:rFonts w:cs="FrutigerCE-Light"/>
          <w:sz w:val="16"/>
          <w:szCs w:val="16"/>
        </w:rPr>
        <w:t xml:space="preserve">usazování usazenin, </w:t>
      </w:r>
      <w:r w:rsidR="00C54587">
        <w:rPr>
          <w:rFonts w:cs="FrutigerCE-Light"/>
          <w:sz w:val="16"/>
          <w:szCs w:val="16"/>
        </w:rPr>
        <w:t xml:space="preserve">běžného </w:t>
      </w:r>
      <w:r w:rsidRPr="00E02BC8">
        <w:rPr>
          <w:rFonts w:cs="FrutigerCE-Light"/>
          <w:sz w:val="16"/>
          <w:szCs w:val="16"/>
        </w:rPr>
        <w:t>opotřebení, postupného stárnutí, únavy materiálu, nedostatečného používání, dlouhodobého uskladnění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Pr="00E02BC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přímým dlouhodobým vlivem biologických, chemických nebo tepelných procesů, znečištěním nebo poškrábáním</w:t>
      </w:r>
      <w:r w:rsidR="00AC6B97" w:rsidRPr="00E02BC8">
        <w:rPr>
          <w:rFonts w:cs="FrutigerCE-Light"/>
          <w:sz w:val="16"/>
          <w:szCs w:val="16"/>
        </w:rPr>
        <w:t>, pokud nenastaly v důsledku živelní události či vady materiálu</w:t>
      </w:r>
      <w:r w:rsidRPr="00E02BC8">
        <w:rPr>
          <w:rFonts w:cs="FrutigerCE-Light"/>
          <w:sz w:val="16"/>
          <w:szCs w:val="16"/>
        </w:rPr>
        <w:t>;</w:t>
      </w:r>
    </w:p>
    <w:p w:rsidR="007C1D88" w:rsidRDefault="007C1D88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125C92">
        <w:rPr>
          <w:rFonts w:cs="FrutigerCE-Light"/>
          <w:sz w:val="16"/>
          <w:szCs w:val="16"/>
        </w:rPr>
        <w:t>normálními atmosférickými podmínkami, s nimiž je třeba podle ročního období a místních poměrů počítat</w:t>
      </w:r>
      <w:r w:rsidR="00B028F2" w:rsidRPr="00125C92">
        <w:rPr>
          <w:rFonts w:cs="FrutigerCE-Light"/>
          <w:sz w:val="16"/>
          <w:szCs w:val="16"/>
        </w:rPr>
        <w:t xml:space="preserve">, </w:t>
      </w:r>
      <w:r w:rsidR="00AC6B97" w:rsidRPr="00125C92">
        <w:rPr>
          <w:rFonts w:cs="FrutigerCE-Light"/>
          <w:sz w:val="16"/>
          <w:szCs w:val="16"/>
        </w:rPr>
        <w:t>pokud nenastaly v</w:t>
      </w:r>
      <w:r w:rsidR="00125C92" w:rsidRPr="00125C92">
        <w:rPr>
          <w:rFonts w:cs="FrutigerCE-Light"/>
          <w:sz w:val="16"/>
          <w:szCs w:val="16"/>
        </w:rPr>
        <w:t> </w:t>
      </w:r>
      <w:r w:rsidR="00AC6B97" w:rsidRPr="00125C92">
        <w:rPr>
          <w:rFonts w:cs="FrutigerCE-Light"/>
          <w:sz w:val="16"/>
          <w:szCs w:val="16"/>
        </w:rPr>
        <w:t>důsledku</w:t>
      </w:r>
      <w:r w:rsidR="00125C92" w:rsidRPr="00125C92">
        <w:rPr>
          <w:rFonts w:cs="FrutigerCE-Light"/>
          <w:sz w:val="16"/>
          <w:szCs w:val="16"/>
        </w:rPr>
        <w:t xml:space="preserve"> </w:t>
      </w:r>
      <w:r w:rsidR="00AC6B97" w:rsidRPr="00125C92">
        <w:rPr>
          <w:rFonts w:cs="FrutigerCE-Light"/>
          <w:sz w:val="16"/>
          <w:szCs w:val="16"/>
        </w:rPr>
        <w:t>živelní události</w:t>
      </w:r>
      <w:r w:rsidRPr="00125C92">
        <w:rPr>
          <w:rFonts w:cs="FrutigerCE-Light"/>
          <w:sz w:val="16"/>
          <w:szCs w:val="16"/>
        </w:rPr>
        <w:t>;</w:t>
      </w:r>
    </w:p>
    <w:p w:rsidR="007854F2" w:rsidRPr="00125C92" w:rsidRDefault="007854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7854F2">
        <w:rPr>
          <w:rFonts w:cs="FrutigerCE-Light"/>
          <w:sz w:val="16"/>
          <w:szCs w:val="16"/>
        </w:rPr>
        <w:t>větrem, který nedosahuje rychlosti vichřice</w:t>
      </w:r>
      <w:r w:rsidR="00B14071">
        <w:rPr>
          <w:rFonts w:cs="FrutigerCE-Light"/>
          <w:sz w:val="16"/>
          <w:szCs w:val="16"/>
        </w:rPr>
        <w:t>;</w:t>
      </w:r>
    </w:p>
    <w:p w:rsidR="007C1D88" w:rsidRPr="00E02BC8" w:rsidRDefault="00FF6CEF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v rozsahu v jakém je za poškození či zničení dle </w:t>
      </w:r>
      <w:r w:rsidRPr="00E02BC8">
        <w:rPr>
          <w:rFonts w:cs="FrutigerCE-Light"/>
          <w:sz w:val="16"/>
          <w:szCs w:val="16"/>
        </w:rPr>
        <w:t xml:space="preserve">právního předpisu </w:t>
      </w:r>
      <w:r>
        <w:rPr>
          <w:rFonts w:cs="FrutigerCE-Light"/>
          <w:sz w:val="16"/>
          <w:szCs w:val="16"/>
        </w:rPr>
        <w:t>či</w:t>
      </w:r>
      <w:r w:rsidRPr="00E02BC8">
        <w:rPr>
          <w:rFonts w:cs="FrutigerCE-Light"/>
          <w:sz w:val="16"/>
          <w:szCs w:val="16"/>
        </w:rPr>
        <w:t xml:space="preserve"> smlouvy</w:t>
      </w:r>
      <w:r>
        <w:rPr>
          <w:rFonts w:cs="FrutigerCE-Light"/>
          <w:sz w:val="16"/>
          <w:szCs w:val="16"/>
        </w:rPr>
        <w:t xml:space="preserve"> odpovědný</w:t>
      </w:r>
      <w:r w:rsidRPr="00E02BC8">
        <w:rPr>
          <w:rFonts w:cs="FrutigerCE-Light"/>
          <w:sz w:val="16"/>
          <w:szCs w:val="16"/>
        </w:rPr>
        <w:t xml:space="preserve"> smluvní partner nebo opravce, včetně odpovědnosti za vady (záruky)</w:t>
      </w:r>
      <w:r>
        <w:rPr>
          <w:rFonts w:cs="FrutigerCE-Light"/>
          <w:sz w:val="16"/>
          <w:szCs w:val="16"/>
        </w:rPr>
        <w:t>;</w:t>
      </w:r>
    </w:p>
    <w:p w:rsidR="007C1D88" w:rsidRPr="00E02BC8" w:rsidRDefault="00431CA9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kybernetickými riziky (projev viru; poškození, zkreslení, vymazání dat či programového vybavení; užívání, zneužití či selhání internetu; apod.)</w:t>
      </w:r>
      <w:r w:rsidR="007C1D88" w:rsidRPr="00E02BC8">
        <w:rPr>
          <w:rFonts w:cs="FrutigerCE-Light"/>
          <w:sz w:val="16"/>
          <w:szCs w:val="16"/>
        </w:rPr>
        <w:t>;</w:t>
      </w:r>
    </w:p>
    <w:p w:rsidR="007C1D88" w:rsidRPr="00E02BC8" w:rsidRDefault="00B028F2" w:rsidP="00C5458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v důsledku jakéhokoliv porušení duševních majetkových práv</w:t>
      </w:r>
      <w:r w:rsidR="00B14071">
        <w:rPr>
          <w:rFonts w:cs="FrutigerCE-Light"/>
          <w:sz w:val="16"/>
          <w:szCs w:val="16"/>
        </w:rPr>
        <w:t>;</w:t>
      </w:r>
    </w:p>
    <w:p w:rsidR="00AC6B97" w:rsidRPr="00E02BC8" w:rsidRDefault="00AC6B97" w:rsidP="008331A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cs="FrutigerCE-Light"/>
          <w:sz w:val="16"/>
          <w:szCs w:val="16"/>
        </w:rPr>
      </w:pPr>
      <w:r w:rsidRPr="00E02BC8">
        <w:rPr>
          <w:rFonts w:cs="FrutigerCE-Light"/>
          <w:sz w:val="16"/>
          <w:szCs w:val="16"/>
        </w:rPr>
        <w:t>jedná-li se o zvukové</w:t>
      </w:r>
      <w:r w:rsidR="00255D85">
        <w:rPr>
          <w:rFonts w:cs="FrutigerCE-Light"/>
          <w:sz w:val="16"/>
          <w:szCs w:val="16"/>
        </w:rPr>
        <w:t>,</w:t>
      </w:r>
      <w:r w:rsidRPr="00E02BC8">
        <w:rPr>
          <w:rFonts w:cs="FrutigerCE-Light"/>
          <w:sz w:val="16"/>
          <w:szCs w:val="16"/>
        </w:rPr>
        <w:t xml:space="preserve"> obrazové či jiné záznamy a data</w:t>
      </w:r>
      <w:r w:rsidR="007600EC">
        <w:rPr>
          <w:rFonts w:cs="FrutigerCE-Light"/>
          <w:sz w:val="16"/>
          <w:szCs w:val="16"/>
        </w:rPr>
        <w:t>.</w:t>
      </w:r>
    </w:p>
    <w:p w:rsidR="007C1D88" w:rsidRDefault="002949FF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Pouze tehdy, nedošlo-li současně k jinému poškození či zničení předmětu pojištění</w:t>
      </w:r>
      <w:r w:rsidR="00040567">
        <w:rPr>
          <w:rFonts w:cs="FrutigerCE-Light"/>
          <w:sz w:val="16"/>
          <w:szCs w:val="16"/>
        </w:rPr>
        <w:t>,</w:t>
      </w:r>
      <w:r>
        <w:rPr>
          <w:rFonts w:cs="FrutigerCE-Light"/>
          <w:sz w:val="16"/>
          <w:szCs w:val="16"/>
        </w:rPr>
        <w:t xml:space="preserve"> je přípustná v</w:t>
      </w:r>
      <w:r w:rsidR="00E7047E">
        <w:rPr>
          <w:rFonts w:cs="FrutigerCE-Light"/>
          <w:sz w:val="16"/>
          <w:szCs w:val="16"/>
        </w:rPr>
        <w:t>ýluka na díly a části, které se pravidelně vyměňují pro rychlé opotřebení či stárnutí, dále na skleněné díly a části, činná média, provozní kapaliny, baterie a elektrochemické články, nosiče dat, nářadí a nástroje všeho druhu.</w:t>
      </w:r>
    </w:p>
    <w:p w:rsidR="00A204D6" w:rsidRDefault="00A204D6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 xml:space="preserve">Pojištění se </w:t>
      </w:r>
      <w:r w:rsidR="007F703C">
        <w:rPr>
          <w:rFonts w:cs="FrutigerCE-Light"/>
          <w:sz w:val="16"/>
          <w:szCs w:val="16"/>
        </w:rPr>
        <w:t>vztahuje</w:t>
      </w:r>
      <w:r>
        <w:rPr>
          <w:rFonts w:cs="FrutigerCE-Light"/>
          <w:sz w:val="16"/>
          <w:szCs w:val="16"/>
        </w:rPr>
        <w:t xml:space="preserve"> i na mobilní zařízení vč. fotoaparátů, GPS, notebooků a tabletů a </w:t>
      </w:r>
      <w:r w:rsidR="00C54587">
        <w:rPr>
          <w:rFonts w:cs="FrutigerCE-Light"/>
          <w:sz w:val="16"/>
          <w:szCs w:val="16"/>
        </w:rPr>
        <w:t xml:space="preserve">na </w:t>
      </w:r>
      <w:r>
        <w:rPr>
          <w:rFonts w:cs="FrutigerCE-Light"/>
          <w:sz w:val="16"/>
          <w:szCs w:val="16"/>
        </w:rPr>
        <w:t>zařízení pevně nainstalovaná ve vozidlech s výjimkou autorádií a zabudovaných navigací.</w:t>
      </w:r>
    </w:p>
    <w:p w:rsidR="0051229D" w:rsidRDefault="0051229D" w:rsidP="008331A5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Uvedení jedné částky pojistného v tabulce „Cenová specifikace“ je akceptovatelné pouze za podmínky, že případné změny v tabulce „Vyjmenovaná elektronická zařízení technologií staveb na vodních tocích a limnigrafů</w:t>
      </w:r>
      <w:r w:rsidR="0035296A">
        <w:rPr>
          <w:rFonts w:cs="FrutigerCE-Light"/>
          <w:sz w:val="16"/>
          <w:szCs w:val="16"/>
        </w:rPr>
        <w:t>“ dle přílohy č. 3</w:t>
      </w:r>
      <w:bookmarkStart w:id="0" w:name="_GoBack"/>
      <w:bookmarkEnd w:id="0"/>
      <w:r>
        <w:rPr>
          <w:rFonts w:cs="FrutigerCE-Light"/>
          <w:sz w:val="16"/>
          <w:szCs w:val="16"/>
        </w:rPr>
        <w:t xml:space="preserve"> vztahující se k předmětu pojištění č.</w:t>
      </w:r>
      <w:r w:rsidR="00424EBE">
        <w:rPr>
          <w:rFonts w:cs="FrutigerCE-Light"/>
          <w:sz w:val="16"/>
          <w:szCs w:val="16"/>
        </w:rPr>
        <w:t> </w:t>
      </w:r>
      <w:r>
        <w:rPr>
          <w:rFonts w:cs="FrutigerCE-Light"/>
          <w:sz w:val="16"/>
          <w:szCs w:val="16"/>
        </w:rPr>
        <w:t>26 nastalé v průběhu plnění zakázky nebudou mít vliv na výši pojistného. V opačném případě je nezbytné vyplnit roční pojistné pro předmět pojištění č. 25 a č. 26 samostatně.</w:t>
      </w:r>
    </w:p>
    <w:p w:rsidR="00A204D6" w:rsidRDefault="00A204D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p w:rsidR="002E7031" w:rsidRPr="004134AA" w:rsidRDefault="002E7031" w:rsidP="002E7031">
      <w:pPr>
        <w:spacing w:after="60"/>
        <w:jc w:val="both"/>
        <w:rPr>
          <w:b/>
          <w:sz w:val="16"/>
          <w:szCs w:val="16"/>
          <w:u w:val="single"/>
        </w:rPr>
      </w:pPr>
      <w:r w:rsidRPr="004134AA">
        <w:rPr>
          <w:b/>
          <w:sz w:val="16"/>
          <w:szCs w:val="16"/>
          <w:u w:val="single"/>
        </w:rPr>
        <w:t>Další ujednání:</w:t>
      </w:r>
    </w:p>
    <w:p w:rsidR="002E7031" w:rsidRDefault="002E7031" w:rsidP="002E7031">
      <w:pPr>
        <w:autoSpaceDE w:val="0"/>
        <w:autoSpaceDN w:val="0"/>
        <w:adjustRightInd w:val="0"/>
        <w:spacing w:after="120" w:line="240" w:lineRule="auto"/>
        <w:jc w:val="both"/>
        <w:rPr>
          <w:rFonts w:cs="FrutigerCE-Light"/>
          <w:sz w:val="16"/>
          <w:szCs w:val="16"/>
        </w:rPr>
      </w:pPr>
      <w:r>
        <w:rPr>
          <w:rFonts w:cs="FrutigerCE-Light"/>
          <w:sz w:val="16"/>
          <w:szCs w:val="16"/>
        </w:rPr>
        <w:t>Za nedodržení podmínek nebude považováno ani poskytnutí fixní spoluúčasti, pokud tato nebude vyšší než minimální předepsaná spoluúčast.</w:t>
      </w:r>
    </w:p>
    <w:p w:rsidR="00CF5000" w:rsidRPr="007054A1" w:rsidRDefault="00CF5000" w:rsidP="00C54587">
      <w:pPr>
        <w:jc w:val="both"/>
        <w:rPr>
          <w:b/>
          <w:sz w:val="16"/>
          <w:szCs w:val="16"/>
        </w:rPr>
      </w:pPr>
    </w:p>
    <w:p w:rsidR="00CF5000" w:rsidRPr="007054A1" w:rsidRDefault="00CF5000" w:rsidP="00C54587">
      <w:pPr>
        <w:jc w:val="both"/>
        <w:rPr>
          <w:b/>
          <w:sz w:val="16"/>
          <w:szCs w:val="16"/>
        </w:rPr>
      </w:pPr>
      <w:r w:rsidRPr="007054A1">
        <w:rPr>
          <w:b/>
          <w:sz w:val="16"/>
          <w:szCs w:val="16"/>
        </w:rPr>
        <w:t xml:space="preserve">Přehled </w:t>
      </w:r>
      <w:r w:rsidR="00C94AC1">
        <w:rPr>
          <w:b/>
          <w:sz w:val="16"/>
          <w:szCs w:val="16"/>
        </w:rPr>
        <w:t>pojistného plnění z pojištění elektroniky</w:t>
      </w:r>
    </w:p>
    <w:tbl>
      <w:tblPr>
        <w:tblW w:w="8631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3544"/>
        <w:gridCol w:w="3028"/>
      </w:tblGrid>
      <w:tr w:rsidR="00CF5000" w:rsidRPr="004C0A2F" w:rsidTr="00A13AF6">
        <w:trPr>
          <w:trHeight w:val="284"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ROK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Počet pojistných událostí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Výplata pojistného plnění v Kč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354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135 332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236 955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245 251</w:t>
            </w:r>
          </w:p>
        </w:tc>
      </w:tr>
      <w:tr w:rsidR="00CF5000" w:rsidRPr="00C00B62" w:rsidTr="00A13AF6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000" w:rsidRPr="004C0A2F" w:rsidRDefault="00CF5000" w:rsidP="00A13AF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CF5000" w:rsidRPr="00C00B62" w:rsidRDefault="00CF5000" w:rsidP="00A13AF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F2925" w:rsidRPr="00C00B62" w:rsidTr="007906C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25" w:rsidRPr="004C0A2F" w:rsidRDefault="000F2925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4C0A2F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25" w:rsidRPr="00D501BF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F2925" w:rsidRPr="00C00B62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23 261</w:t>
            </w:r>
          </w:p>
        </w:tc>
      </w:tr>
      <w:tr w:rsidR="000F2925" w:rsidRPr="00C00B62" w:rsidTr="00BB766A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925" w:rsidRPr="004C0A2F" w:rsidRDefault="000F2925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25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F2925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119 682</w:t>
            </w:r>
          </w:p>
        </w:tc>
      </w:tr>
      <w:tr w:rsidR="00BB766A" w:rsidRPr="00C00B62" w:rsidTr="007906C0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B766A" w:rsidRDefault="00BB766A" w:rsidP="005C594D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1-</w:t>
            </w:r>
            <w:r w:rsidR="005C594D">
              <w:rPr>
                <w:rFonts w:cs="Arial"/>
                <w:b/>
                <w:sz w:val="16"/>
                <w:szCs w:val="16"/>
              </w:rPr>
              <w:t>6</w:t>
            </w:r>
            <w:r>
              <w:rPr>
                <w:rFonts w:cs="Arial"/>
                <w:b/>
                <w:sz w:val="16"/>
                <w:szCs w:val="16"/>
              </w:rPr>
              <w:t>/2017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766A" w:rsidRDefault="00BB766A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766A" w:rsidRDefault="00BB766A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</w:tr>
      <w:tr w:rsidR="000F2925" w:rsidRPr="00C00B62" w:rsidTr="007906C0">
        <w:trPr>
          <w:trHeight w:val="284"/>
        </w:trPr>
        <w:tc>
          <w:tcPr>
            <w:tcW w:w="2059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F2925" w:rsidRPr="004C0A2F" w:rsidRDefault="000F2925" w:rsidP="007906C0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925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3028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0F2925" w:rsidRDefault="000F2925" w:rsidP="007906C0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760 481</w:t>
            </w:r>
          </w:p>
        </w:tc>
      </w:tr>
    </w:tbl>
    <w:p w:rsidR="00CF5000" w:rsidRDefault="00CF5000" w:rsidP="00C54587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</w:p>
    <w:p w:rsidR="00CF5000" w:rsidRDefault="00CF5000" w:rsidP="00C54587">
      <w:pPr>
        <w:autoSpaceDE w:val="0"/>
        <w:autoSpaceDN w:val="0"/>
        <w:adjustRightInd w:val="0"/>
        <w:spacing w:after="60" w:line="240" w:lineRule="auto"/>
        <w:jc w:val="both"/>
        <w:rPr>
          <w:rFonts w:cs="FrutigerCE-Light"/>
          <w:sz w:val="16"/>
          <w:szCs w:val="16"/>
        </w:rPr>
      </w:pPr>
    </w:p>
    <w:p w:rsidR="00B21D36" w:rsidRDefault="00B21D36" w:rsidP="00C54587">
      <w:pPr>
        <w:autoSpaceDE w:val="0"/>
        <w:autoSpaceDN w:val="0"/>
        <w:adjustRightInd w:val="0"/>
        <w:spacing w:after="0" w:line="240" w:lineRule="auto"/>
        <w:jc w:val="both"/>
        <w:rPr>
          <w:rFonts w:cs="FrutigerCE-Light"/>
          <w:sz w:val="16"/>
          <w:szCs w:val="16"/>
        </w:rPr>
      </w:pPr>
    </w:p>
    <w:sectPr w:rsidR="00B21D36" w:rsidSect="00040C6C">
      <w:footerReference w:type="default" r:id="rId8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2D" w:rsidRDefault="0033392D" w:rsidP="00040C6C">
      <w:pPr>
        <w:spacing w:after="0" w:line="240" w:lineRule="auto"/>
      </w:pPr>
      <w:r>
        <w:separator/>
      </w:r>
    </w:p>
  </w:endnote>
  <w:endnote w:type="continuationSeparator" w:id="0">
    <w:p w:rsidR="0033392D" w:rsidRDefault="0033392D" w:rsidP="0004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25675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40C6C" w:rsidRDefault="00A9301F">
        <w:pPr>
          <w:pStyle w:val="Zpat"/>
          <w:jc w:val="right"/>
        </w:pPr>
        <w:r w:rsidRPr="00040C6C">
          <w:rPr>
            <w:sz w:val="18"/>
            <w:szCs w:val="18"/>
          </w:rPr>
          <w:fldChar w:fldCharType="begin"/>
        </w:r>
        <w:r w:rsidR="00040C6C" w:rsidRPr="00040C6C">
          <w:rPr>
            <w:sz w:val="18"/>
            <w:szCs w:val="18"/>
          </w:rPr>
          <w:instrText xml:space="preserve"> PAGE   \* MERGEFORMAT </w:instrText>
        </w:r>
        <w:r w:rsidRPr="00040C6C">
          <w:rPr>
            <w:sz w:val="18"/>
            <w:szCs w:val="18"/>
          </w:rPr>
          <w:fldChar w:fldCharType="separate"/>
        </w:r>
        <w:r w:rsidR="0035296A">
          <w:rPr>
            <w:noProof/>
            <w:sz w:val="18"/>
            <w:szCs w:val="18"/>
          </w:rPr>
          <w:t>11</w:t>
        </w:r>
        <w:r w:rsidRPr="00040C6C">
          <w:rPr>
            <w:sz w:val="18"/>
            <w:szCs w:val="18"/>
          </w:rPr>
          <w:fldChar w:fldCharType="end"/>
        </w:r>
      </w:p>
    </w:sdtContent>
  </w:sdt>
  <w:p w:rsidR="00040C6C" w:rsidRDefault="00040C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2D" w:rsidRDefault="0033392D" w:rsidP="00040C6C">
      <w:pPr>
        <w:spacing w:after="0" w:line="240" w:lineRule="auto"/>
      </w:pPr>
      <w:r>
        <w:separator/>
      </w:r>
    </w:p>
  </w:footnote>
  <w:footnote w:type="continuationSeparator" w:id="0">
    <w:p w:rsidR="0033392D" w:rsidRDefault="0033392D" w:rsidP="0004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2403D"/>
    <w:multiLevelType w:val="hybridMultilevel"/>
    <w:tmpl w:val="5936D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AB5"/>
    <w:rsid w:val="000033D7"/>
    <w:rsid w:val="00035662"/>
    <w:rsid w:val="000375CA"/>
    <w:rsid w:val="00040567"/>
    <w:rsid w:val="00040C6C"/>
    <w:rsid w:val="00066528"/>
    <w:rsid w:val="000A47F9"/>
    <w:rsid w:val="000A56B9"/>
    <w:rsid w:val="000F2925"/>
    <w:rsid w:val="00125C92"/>
    <w:rsid w:val="001374BC"/>
    <w:rsid w:val="00255D85"/>
    <w:rsid w:val="002949FF"/>
    <w:rsid w:val="002C12EC"/>
    <w:rsid w:val="002E7031"/>
    <w:rsid w:val="00322648"/>
    <w:rsid w:val="0033392D"/>
    <w:rsid w:val="0035296A"/>
    <w:rsid w:val="00395AB5"/>
    <w:rsid w:val="003E7C68"/>
    <w:rsid w:val="00424EBE"/>
    <w:rsid w:val="00431CA9"/>
    <w:rsid w:val="004C0C2E"/>
    <w:rsid w:val="004E7FD0"/>
    <w:rsid w:val="0051229D"/>
    <w:rsid w:val="00554E7C"/>
    <w:rsid w:val="005C594D"/>
    <w:rsid w:val="0061224A"/>
    <w:rsid w:val="00664A1A"/>
    <w:rsid w:val="00686E1D"/>
    <w:rsid w:val="006A0285"/>
    <w:rsid w:val="006B5521"/>
    <w:rsid w:val="006D48AD"/>
    <w:rsid w:val="006E4C14"/>
    <w:rsid w:val="007600EC"/>
    <w:rsid w:val="0077712E"/>
    <w:rsid w:val="007854F2"/>
    <w:rsid w:val="007C1D88"/>
    <w:rsid w:val="007E76A1"/>
    <w:rsid w:val="007F703C"/>
    <w:rsid w:val="007F7313"/>
    <w:rsid w:val="00810938"/>
    <w:rsid w:val="008331A5"/>
    <w:rsid w:val="008665E9"/>
    <w:rsid w:val="00881A61"/>
    <w:rsid w:val="008D45F5"/>
    <w:rsid w:val="008D6B61"/>
    <w:rsid w:val="00944169"/>
    <w:rsid w:val="009A7325"/>
    <w:rsid w:val="00A07632"/>
    <w:rsid w:val="00A13AF6"/>
    <w:rsid w:val="00A204D6"/>
    <w:rsid w:val="00A9301F"/>
    <w:rsid w:val="00AC6B97"/>
    <w:rsid w:val="00AF7134"/>
    <w:rsid w:val="00B028F2"/>
    <w:rsid w:val="00B14071"/>
    <w:rsid w:val="00B21D36"/>
    <w:rsid w:val="00B3117B"/>
    <w:rsid w:val="00B34595"/>
    <w:rsid w:val="00B530D5"/>
    <w:rsid w:val="00B67EEF"/>
    <w:rsid w:val="00BB1DF0"/>
    <w:rsid w:val="00BB766A"/>
    <w:rsid w:val="00BC4FF7"/>
    <w:rsid w:val="00C13E13"/>
    <w:rsid w:val="00C54587"/>
    <w:rsid w:val="00C66E4C"/>
    <w:rsid w:val="00C80BE7"/>
    <w:rsid w:val="00C94AC1"/>
    <w:rsid w:val="00CF5000"/>
    <w:rsid w:val="00CF537C"/>
    <w:rsid w:val="00D00FBB"/>
    <w:rsid w:val="00D50AF0"/>
    <w:rsid w:val="00D744B0"/>
    <w:rsid w:val="00D9788F"/>
    <w:rsid w:val="00DB7691"/>
    <w:rsid w:val="00DC237F"/>
    <w:rsid w:val="00DD647C"/>
    <w:rsid w:val="00DE1B5D"/>
    <w:rsid w:val="00E02BC8"/>
    <w:rsid w:val="00E50325"/>
    <w:rsid w:val="00E7047E"/>
    <w:rsid w:val="00E814C2"/>
    <w:rsid w:val="00F24A24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6E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78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8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8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8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88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88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40C6C"/>
  </w:style>
  <w:style w:type="paragraph" w:styleId="Zpat">
    <w:name w:val="footer"/>
    <w:basedOn w:val="Normln"/>
    <w:link w:val="ZpatChar"/>
    <w:uiPriority w:val="99"/>
    <w:unhideWhenUsed/>
    <w:rsid w:val="00040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0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D8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78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78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78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78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788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Zbyna</dc:creator>
  <cp:lastModifiedBy>Matějka Tomáš</cp:lastModifiedBy>
  <cp:revision>7</cp:revision>
  <cp:lastPrinted>2016-06-29T09:20:00Z</cp:lastPrinted>
  <dcterms:created xsi:type="dcterms:W3CDTF">2017-06-02T05:39:00Z</dcterms:created>
  <dcterms:modified xsi:type="dcterms:W3CDTF">2017-07-25T12:35:00Z</dcterms:modified>
</cp:coreProperties>
</file>